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1E" w:rsidRDefault="00807A1E"/>
    <w:p w:rsidR="002A6328" w:rsidRDefault="002A6328"/>
    <w:p w:rsidR="002A6328" w:rsidRDefault="002A6328"/>
    <w:p w:rsidR="002A6328" w:rsidRDefault="002A6328"/>
    <w:p w:rsidR="002A6328" w:rsidRDefault="002A6328"/>
    <w:p w:rsidR="002A6328" w:rsidRPr="002D00F7" w:rsidRDefault="002A6328">
      <w:pPr>
        <w:rPr>
          <w:b/>
        </w:rPr>
      </w:pPr>
      <w:r w:rsidRPr="002D00F7">
        <w:rPr>
          <w:b/>
        </w:rPr>
        <w:t>CASA DE ASIGURARI DE SANATATE COVASNA</w:t>
      </w:r>
    </w:p>
    <w:p w:rsidR="002A6328" w:rsidRPr="002D00F7" w:rsidRDefault="002A6328">
      <w:pPr>
        <w:rPr>
          <w:b/>
        </w:rPr>
      </w:pPr>
    </w:p>
    <w:p w:rsidR="002A6328" w:rsidRPr="002D00F7" w:rsidRDefault="002A6328">
      <w:pPr>
        <w:rPr>
          <w:b/>
        </w:rPr>
      </w:pPr>
    </w:p>
    <w:p w:rsidR="002A6328" w:rsidRPr="002D00F7" w:rsidRDefault="002A6328" w:rsidP="002A6328">
      <w:pPr>
        <w:jc w:val="center"/>
        <w:rPr>
          <w:b/>
        </w:rPr>
      </w:pPr>
      <w:r w:rsidRPr="002D00F7">
        <w:rPr>
          <w:b/>
        </w:rPr>
        <w:t>CENTRALIZATOR ACHIZIŢII PUBLICE 201</w:t>
      </w:r>
      <w:r w:rsidR="00667BBF" w:rsidRPr="002D00F7">
        <w:rPr>
          <w:b/>
        </w:rPr>
        <w:t>7</w:t>
      </w:r>
    </w:p>
    <w:p w:rsidR="002A6328" w:rsidRPr="002D00F7" w:rsidRDefault="002A6328">
      <w:pPr>
        <w:rPr>
          <w:b/>
        </w:rPr>
      </w:pPr>
    </w:p>
    <w:p w:rsidR="002A6328" w:rsidRDefault="002A6328"/>
    <w:tbl>
      <w:tblPr>
        <w:tblStyle w:val="TableGrid"/>
        <w:tblW w:w="13608" w:type="dxa"/>
        <w:tblLook w:val="01E0"/>
      </w:tblPr>
      <w:tblGrid>
        <w:gridCol w:w="4428"/>
        <w:gridCol w:w="1555"/>
        <w:gridCol w:w="2635"/>
        <w:gridCol w:w="2635"/>
        <w:gridCol w:w="2355"/>
      </w:tblGrid>
      <w:tr w:rsidR="002A6328" w:rsidTr="001F4C08">
        <w:trPr>
          <w:trHeight w:val="494"/>
        </w:trPr>
        <w:tc>
          <w:tcPr>
            <w:tcW w:w="4428" w:type="dxa"/>
            <w:vMerge w:val="restart"/>
          </w:tcPr>
          <w:p w:rsidR="002A6328" w:rsidRDefault="002A6328" w:rsidP="002A6328">
            <w:pPr>
              <w:jc w:val="center"/>
            </w:pPr>
          </w:p>
          <w:p w:rsidR="002A6328" w:rsidRDefault="002A6328" w:rsidP="002A6328">
            <w:pPr>
              <w:jc w:val="center"/>
            </w:pPr>
          </w:p>
          <w:p w:rsidR="002A6328" w:rsidRDefault="002A6328" w:rsidP="002A6328">
            <w:pPr>
              <w:jc w:val="center"/>
            </w:pP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achizitiei</w:t>
            </w:r>
            <w:proofErr w:type="spellEnd"/>
            <w:r>
              <w:t xml:space="preserve"> </w:t>
            </w:r>
            <w:proofErr w:type="spellStart"/>
            <w:r>
              <w:t>directe</w:t>
            </w:r>
            <w:proofErr w:type="spellEnd"/>
          </w:p>
        </w:tc>
        <w:tc>
          <w:tcPr>
            <w:tcW w:w="1555" w:type="dxa"/>
            <w:vMerge w:val="restart"/>
          </w:tcPr>
          <w:p w:rsidR="002A6328" w:rsidRDefault="002A6328" w:rsidP="002A6328">
            <w:pPr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estimata</w:t>
            </w:r>
            <w:proofErr w:type="spellEnd"/>
          </w:p>
          <w:p w:rsidR="002A6328" w:rsidRDefault="002A6328" w:rsidP="002A6328">
            <w:pPr>
              <w:jc w:val="center"/>
            </w:pPr>
            <w:r>
              <w:t>- lei cu TVA -</w:t>
            </w:r>
          </w:p>
        </w:tc>
        <w:tc>
          <w:tcPr>
            <w:tcW w:w="2635" w:type="dxa"/>
            <w:vMerge w:val="restart"/>
          </w:tcPr>
          <w:p w:rsidR="002A6328" w:rsidRDefault="002A6328"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finantare</w:t>
            </w:r>
            <w:proofErr w:type="spellEnd"/>
          </w:p>
        </w:tc>
        <w:tc>
          <w:tcPr>
            <w:tcW w:w="4990" w:type="dxa"/>
            <w:gridSpan w:val="2"/>
          </w:tcPr>
          <w:p w:rsidR="002A6328" w:rsidRDefault="001F4C08" w:rsidP="001F4C08">
            <w:pPr>
              <w:jc w:val="center"/>
            </w:pPr>
            <w:r>
              <w:t xml:space="preserve">Data </w:t>
            </w:r>
            <w:proofErr w:type="spellStart"/>
            <w:r>
              <w:t>estimata</w:t>
            </w:r>
            <w:proofErr w:type="spellEnd"/>
            <w:r>
              <w:t xml:space="preserve"> (</w:t>
            </w:r>
            <w:proofErr w:type="spellStart"/>
            <w:r>
              <w:t>luna</w:t>
            </w:r>
            <w:proofErr w:type="spellEnd"/>
            <w:r>
              <w:t xml:space="preserve">) </w:t>
            </w:r>
            <w:proofErr w:type="spellStart"/>
            <w:r>
              <w:t>pentru</w:t>
            </w:r>
            <w:proofErr w:type="spellEnd"/>
          </w:p>
        </w:tc>
      </w:tr>
      <w:tr w:rsidR="002A6328" w:rsidTr="001F4C08">
        <w:trPr>
          <w:trHeight w:val="333"/>
        </w:trPr>
        <w:tc>
          <w:tcPr>
            <w:tcW w:w="4428" w:type="dxa"/>
            <w:vMerge/>
          </w:tcPr>
          <w:p w:rsidR="002A6328" w:rsidRDefault="002A6328" w:rsidP="002A6328">
            <w:pPr>
              <w:jc w:val="center"/>
            </w:pPr>
          </w:p>
        </w:tc>
        <w:tc>
          <w:tcPr>
            <w:tcW w:w="1555" w:type="dxa"/>
            <w:vMerge/>
          </w:tcPr>
          <w:p w:rsidR="002A6328" w:rsidRDefault="002A6328" w:rsidP="002A6328">
            <w:pPr>
              <w:jc w:val="center"/>
            </w:pPr>
          </w:p>
        </w:tc>
        <w:tc>
          <w:tcPr>
            <w:tcW w:w="2635" w:type="dxa"/>
            <w:vMerge/>
          </w:tcPr>
          <w:p w:rsidR="002A6328" w:rsidRDefault="002A6328"/>
        </w:tc>
        <w:tc>
          <w:tcPr>
            <w:tcW w:w="2635" w:type="dxa"/>
          </w:tcPr>
          <w:p w:rsidR="002A6328" w:rsidRDefault="001F4C08" w:rsidP="001F4C08">
            <w:pPr>
              <w:jc w:val="center"/>
            </w:pPr>
            <w:proofErr w:type="spellStart"/>
            <w:r>
              <w:t>initiere</w:t>
            </w:r>
            <w:proofErr w:type="spellEnd"/>
          </w:p>
        </w:tc>
        <w:tc>
          <w:tcPr>
            <w:tcW w:w="2355" w:type="dxa"/>
          </w:tcPr>
          <w:p w:rsidR="002A6328" w:rsidRDefault="001F4C08" w:rsidP="001F4C08">
            <w:pPr>
              <w:jc w:val="center"/>
            </w:pPr>
            <w:proofErr w:type="spellStart"/>
            <w:r>
              <w:t>finalizare</w:t>
            </w:r>
            <w:proofErr w:type="spellEnd"/>
          </w:p>
        </w:tc>
      </w:tr>
      <w:tr w:rsidR="002A6328" w:rsidTr="001F4C08">
        <w:trPr>
          <w:trHeight w:val="539"/>
        </w:trPr>
        <w:tc>
          <w:tcPr>
            <w:tcW w:w="4428" w:type="dxa"/>
          </w:tcPr>
          <w:p w:rsidR="002A6328" w:rsidRDefault="001F4C08" w:rsidP="001F4C08">
            <w:pPr>
              <w:jc w:val="both"/>
            </w:pPr>
            <w:proofErr w:type="spellStart"/>
            <w:r>
              <w:t>Furnituri</w:t>
            </w:r>
            <w:proofErr w:type="spellEnd"/>
            <w:r>
              <w:t xml:space="preserve"> de </w:t>
            </w:r>
            <w:proofErr w:type="spellStart"/>
            <w:r>
              <w:t>birou</w:t>
            </w:r>
            <w:proofErr w:type="spellEnd"/>
          </w:p>
        </w:tc>
        <w:tc>
          <w:tcPr>
            <w:tcW w:w="1555" w:type="dxa"/>
          </w:tcPr>
          <w:p w:rsidR="002A6328" w:rsidRDefault="00667BBF" w:rsidP="00B61657">
            <w:pPr>
              <w:jc w:val="right"/>
            </w:pPr>
            <w:r>
              <w:t>6.894</w:t>
            </w:r>
          </w:p>
        </w:tc>
        <w:tc>
          <w:tcPr>
            <w:tcW w:w="2635" w:type="dxa"/>
          </w:tcPr>
          <w:p w:rsidR="002A6328" w:rsidRDefault="001F4C08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2A6328" w:rsidRDefault="001F4C08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2A6328" w:rsidRDefault="001F4C08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39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curatenie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500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39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Incalzit</w:t>
            </w:r>
            <w:proofErr w:type="spellEnd"/>
            <w:r>
              <w:t xml:space="preserve">, </w:t>
            </w:r>
            <w:proofErr w:type="spellStart"/>
            <w:r>
              <w:t>iluminat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forta</w:t>
            </w:r>
            <w:proofErr w:type="spellEnd"/>
            <w:r>
              <w:t xml:space="preserve"> </w:t>
            </w:r>
            <w:proofErr w:type="spellStart"/>
            <w:r>
              <w:t>motrica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21.233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21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Apa</w:t>
            </w:r>
            <w:proofErr w:type="spellEnd"/>
            <w:r>
              <w:t xml:space="preserve">, canal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salubritate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39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Carburanti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lubrifianti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5.000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39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Piese</w:t>
            </w:r>
            <w:proofErr w:type="spellEnd"/>
            <w:r>
              <w:t xml:space="preserve"> de </w:t>
            </w:r>
            <w:proofErr w:type="spellStart"/>
            <w:r>
              <w:t>schimb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1.897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21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r>
              <w:t xml:space="preserve">Posta, </w:t>
            </w:r>
            <w:proofErr w:type="spellStart"/>
            <w:r>
              <w:t>telecomunicatii</w:t>
            </w:r>
            <w:proofErr w:type="spellEnd"/>
            <w:r>
              <w:t xml:space="preserve">, </w:t>
            </w:r>
            <w:proofErr w:type="spellStart"/>
            <w:r>
              <w:t>tv</w:t>
            </w:r>
            <w:proofErr w:type="spellEnd"/>
            <w:r>
              <w:t>, internet</w:t>
            </w:r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26.259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prestari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functional</w:t>
            </w:r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10.153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 w:rsidP="00046C5A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 w:rsidP="00046C5A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lastRenderedPageBreak/>
              <w:t>Alte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75.975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66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Reparaţii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647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8.710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30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Deplasari</w:t>
            </w:r>
            <w:proofErr w:type="spellEnd"/>
            <w:r>
              <w:t xml:space="preserve">, </w:t>
            </w:r>
            <w:proofErr w:type="spellStart"/>
            <w:r>
              <w:t>detasari</w:t>
            </w:r>
            <w:proofErr w:type="spellEnd"/>
            <w:r>
              <w:t xml:space="preserve">, </w:t>
            </w:r>
            <w:proofErr w:type="spellStart"/>
            <w:r>
              <w:t>transferuri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885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21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Carti</w:t>
            </w:r>
            <w:proofErr w:type="spellEnd"/>
            <w:r>
              <w:t xml:space="preserve">, </w:t>
            </w:r>
            <w:proofErr w:type="spellStart"/>
            <w:r>
              <w:t>publicatii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documentare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850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30"/>
        </w:trPr>
        <w:tc>
          <w:tcPr>
            <w:tcW w:w="4428" w:type="dxa"/>
          </w:tcPr>
          <w:p w:rsidR="00046C5A" w:rsidRDefault="00046C5A" w:rsidP="001F4C08">
            <w:pPr>
              <w:jc w:val="both"/>
            </w:pP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  <w:tc>
          <w:tcPr>
            <w:tcW w:w="1555" w:type="dxa"/>
          </w:tcPr>
          <w:p w:rsidR="00046C5A" w:rsidRDefault="00046C5A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843D0E" w:rsidTr="001F4C08">
        <w:trPr>
          <w:trHeight w:val="539"/>
        </w:trPr>
        <w:tc>
          <w:tcPr>
            <w:tcW w:w="4428" w:type="dxa"/>
          </w:tcPr>
          <w:p w:rsidR="00843D0E" w:rsidRDefault="00843D0E" w:rsidP="00B30948">
            <w:pPr>
              <w:jc w:val="both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- </w:t>
            </w:r>
            <w:proofErr w:type="spellStart"/>
            <w:r>
              <w:t>chirii</w:t>
            </w:r>
            <w:proofErr w:type="spellEnd"/>
          </w:p>
        </w:tc>
        <w:tc>
          <w:tcPr>
            <w:tcW w:w="1555" w:type="dxa"/>
          </w:tcPr>
          <w:p w:rsidR="00843D0E" w:rsidRDefault="00843D0E" w:rsidP="00B61657">
            <w:pPr>
              <w:jc w:val="right"/>
            </w:pPr>
            <w:r>
              <w:t>164.633</w:t>
            </w:r>
          </w:p>
        </w:tc>
        <w:tc>
          <w:tcPr>
            <w:tcW w:w="2635" w:type="dxa"/>
          </w:tcPr>
          <w:p w:rsidR="00843D0E" w:rsidRDefault="00843D0E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843D0E" w:rsidRDefault="00843D0E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843D0E" w:rsidRDefault="00843D0E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46C5A" w:rsidTr="001F4C08">
        <w:trPr>
          <w:trHeight w:val="530"/>
        </w:trPr>
        <w:tc>
          <w:tcPr>
            <w:tcW w:w="4428" w:type="dxa"/>
          </w:tcPr>
          <w:p w:rsidR="00046C5A" w:rsidRDefault="00046C5A">
            <w:r>
              <w:t>TOTAL GENERAL</w:t>
            </w:r>
          </w:p>
        </w:tc>
        <w:tc>
          <w:tcPr>
            <w:tcW w:w="1555" w:type="dxa"/>
          </w:tcPr>
          <w:p w:rsidR="00046C5A" w:rsidRPr="00667BBF" w:rsidRDefault="00046C5A" w:rsidP="00B61657">
            <w:pPr>
              <w:jc w:val="right"/>
              <w:rPr>
                <w:b/>
              </w:rPr>
            </w:pPr>
            <w:r w:rsidRPr="00667BBF">
              <w:rPr>
                <w:b/>
              </w:rPr>
              <w:t>32</w:t>
            </w:r>
            <w:r>
              <w:rPr>
                <w:b/>
              </w:rPr>
              <w:t>2.989</w:t>
            </w:r>
          </w:p>
        </w:tc>
        <w:tc>
          <w:tcPr>
            <w:tcW w:w="2635" w:type="dxa"/>
          </w:tcPr>
          <w:p w:rsidR="00046C5A" w:rsidRDefault="00046C5A" w:rsidP="002D00F7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46C5A" w:rsidRDefault="00046C5A"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46C5A" w:rsidRDefault="00046C5A"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</w:tbl>
    <w:p w:rsidR="002A6328" w:rsidRDefault="002A6328"/>
    <w:p w:rsidR="002A6328" w:rsidRDefault="002A6328"/>
    <w:p w:rsidR="002A6328" w:rsidRDefault="002A6328"/>
    <w:p w:rsidR="002A6328" w:rsidRDefault="001F4C08">
      <w:proofErr w:type="spellStart"/>
      <w:r>
        <w:t>Achiziţiile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Covasna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SICAP (</w:t>
      </w:r>
      <w:proofErr w:type="spellStart"/>
      <w:r>
        <w:t>Sistemul</w:t>
      </w:r>
      <w:proofErr w:type="spellEnd"/>
      <w:r>
        <w:t xml:space="preserve"> Electronic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se pot </w:t>
      </w:r>
      <w:proofErr w:type="spellStart"/>
      <w:r>
        <w:t>vizualiza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www.sicap-prod.e-licitatie.ro.</w:t>
      </w:r>
    </w:p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sectPr w:rsidR="002A6328" w:rsidSect="002A632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2A6328"/>
    <w:rsid w:val="00010980"/>
    <w:rsid w:val="00046C5A"/>
    <w:rsid w:val="001021ED"/>
    <w:rsid w:val="00106706"/>
    <w:rsid w:val="00117845"/>
    <w:rsid w:val="001D7BFC"/>
    <w:rsid w:val="001E367F"/>
    <w:rsid w:val="001F4C08"/>
    <w:rsid w:val="00263D5B"/>
    <w:rsid w:val="00276602"/>
    <w:rsid w:val="002A6328"/>
    <w:rsid w:val="002D00F7"/>
    <w:rsid w:val="004B13EF"/>
    <w:rsid w:val="0051552C"/>
    <w:rsid w:val="005A286F"/>
    <w:rsid w:val="005E15D7"/>
    <w:rsid w:val="006225B1"/>
    <w:rsid w:val="00630C10"/>
    <w:rsid w:val="00637DD7"/>
    <w:rsid w:val="00667BBF"/>
    <w:rsid w:val="006A700F"/>
    <w:rsid w:val="006D2E0C"/>
    <w:rsid w:val="006D3185"/>
    <w:rsid w:val="007E061E"/>
    <w:rsid w:val="00807A1E"/>
    <w:rsid w:val="008255D7"/>
    <w:rsid w:val="00843D0E"/>
    <w:rsid w:val="00964599"/>
    <w:rsid w:val="00B23044"/>
    <w:rsid w:val="00B60EF4"/>
    <w:rsid w:val="00B61657"/>
    <w:rsid w:val="00BF650A"/>
    <w:rsid w:val="00C929F0"/>
    <w:rsid w:val="00CC3ECC"/>
    <w:rsid w:val="00D14108"/>
    <w:rsid w:val="00D47E6F"/>
    <w:rsid w:val="00DC3621"/>
    <w:rsid w:val="00E04A16"/>
    <w:rsid w:val="00E35D0B"/>
    <w:rsid w:val="00E62516"/>
    <w:rsid w:val="00F06F2B"/>
    <w:rsid w:val="00F159A9"/>
    <w:rsid w:val="00F21CAB"/>
    <w:rsid w:val="00F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DE ASIGURARI DE SANATATE COVASNA</vt:lpstr>
    </vt:vector>
  </TitlesOfParts>
  <Company>CAS COVASNA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ASIGURARI DE SANATATE COVASNA</dc:title>
  <dc:creator>HP_07</dc:creator>
  <cp:lastModifiedBy>user</cp:lastModifiedBy>
  <cp:revision>2</cp:revision>
  <cp:lastPrinted>2020-01-22T11:42:00Z</cp:lastPrinted>
  <dcterms:created xsi:type="dcterms:W3CDTF">2020-01-23T07:30:00Z</dcterms:created>
  <dcterms:modified xsi:type="dcterms:W3CDTF">2020-01-23T07:30:00Z</dcterms:modified>
</cp:coreProperties>
</file>